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1F" w:rsidRPr="00D11B12" w:rsidRDefault="00D11B12" w:rsidP="00D11B12">
      <w:pPr>
        <w:ind w:left="-1276"/>
        <w:rPr>
          <w:rFonts w:asciiTheme="majorHAnsi" w:hAnsiTheme="majorHAnsi" w:cs="Arial"/>
          <w:color w:val="1AA2E3"/>
          <w:sz w:val="44"/>
          <w:szCs w:val="44"/>
        </w:rPr>
      </w:pPr>
      <w:r w:rsidRPr="00D11B12">
        <w:rPr>
          <w:rFonts w:asciiTheme="majorHAnsi" w:hAnsiTheme="majorHAnsi" w:cs="Arial"/>
          <w:color w:val="1AA2E3"/>
          <w:sz w:val="44"/>
          <w:szCs w:val="44"/>
        </w:rPr>
        <w:t>Fact Sheet</w:t>
      </w:r>
    </w:p>
    <w:p w:rsidR="00A72FBC" w:rsidRPr="00A72FBC" w:rsidRDefault="00A72FBC" w:rsidP="00A72FBC">
      <w:pPr>
        <w:rPr>
          <w:rFonts w:ascii="Arial" w:hAnsi="Arial" w:cs="Arial"/>
        </w:rPr>
      </w:pPr>
    </w:p>
    <w:p w:rsidR="00A72FBC" w:rsidRDefault="00D11B12" w:rsidP="00D11B12">
      <w:pPr>
        <w:ind w:left="-1276"/>
        <w:rPr>
          <w:rStyle w:val="TitleChar"/>
          <w:sz w:val="44"/>
        </w:rPr>
      </w:pPr>
      <w:r w:rsidRPr="004A481F">
        <w:rPr>
          <w:rStyle w:val="TitleChar"/>
          <w:sz w:val="44"/>
        </w:rPr>
        <w:t>Review of Board Decisions</w:t>
      </w:r>
    </w:p>
    <w:p w:rsidR="00D11B12" w:rsidRPr="00A72FBC" w:rsidRDefault="00D11B12" w:rsidP="00D11B12">
      <w:pPr>
        <w:ind w:left="-1276"/>
        <w:rPr>
          <w:rFonts w:ascii="Arial" w:hAnsi="Arial" w:cs="Arial"/>
        </w:rPr>
      </w:pPr>
    </w:p>
    <w:p w:rsidR="00D11B12" w:rsidRDefault="00D11B12" w:rsidP="00D11B12">
      <w:pPr>
        <w:ind w:left="-1276"/>
        <w:jc w:val="both"/>
      </w:pPr>
      <w:r>
        <w:t xml:space="preserve">The objective of the </w:t>
      </w:r>
      <w:r w:rsidRPr="0081234D">
        <w:rPr>
          <w:i/>
        </w:rPr>
        <w:t>Teacher Registration (Northern Territory) Act 2004</w:t>
      </w:r>
      <w:r>
        <w:t xml:space="preserve"> (the Act) is to ensure that only persons who are fit and proper, appropriately qualified and competent to teach, are employed as teachers in the Northern Territory.  </w:t>
      </w:r>
      <w:r>
        <w:rPr>
          <w:rFonts w:ascii="Arial" w:hAnsi="Arial" w:cs="Arial"/>
        </w:rPr>
        <w:t xml:space="preserve">The Act now contains provisions pertaining to the review of Board decisions. </w:t>
      </w:r>
      <w:r>
        <w:t xml:space="preserve">In order to ensure transparency and accountability in decision making, some Board decisions are now able to be reviewed through the Northern Territory Civil Administrative Tribunal (NTCAT). This provides teachers with efficient and cost effective recourse for decisions made by the Board. </w:t>
      </w:r>
    </w:p>
    <w:p w:rsidR="00D11B12" w:rsidRDefault="00D11B12" w:rsidP="00D11B12">
      <w:pPr>
        <w:pStyle w:val="Heading1"/>
        <w:ind w:left="-1276"/>
        <w:jc w:val="both"/>
        <w:rPr>
          <w:sz w:val="32"/>
        </w:rPr>
      </w:pPr>
      <w:r w:rsidRPr="004A481F">
        <w:rPr>
          <w:sz w:val="32"/>
        </w:rPr>
        <w:t xml:space="preserve">What decisions can be reviewed? </w:t>
      </w:r>
    </w:p>
    <w:p w:rsidR="00D11B12" w:rsidRPr="00642A8B" w:rsidRDefault="00D11B12" w:rsidP="00D11B12">
      <w:pPr>
        <w:ind w:left="-1276"/>
        <w:jc w:val="both"/>
      </w:pPr>
      <w:r w:rsidRPr="00642A8B">
        <w:t>Board decisions that may be reviewed include decisions relating to refusal or cancellation of registration, the suspension, imposition or variation of conditions and some other professional conduct matters.</w:t>
      </w:r>
      <w:r>
        <w:t xml:space="preserve"> </w:t>
      </w:r>
    </w:p>
    <w:p w:rsidR="00D11B12" w:rsidRPr="002E228B" w:rsidRDefault="00D11B12" w:rsidP="00D11B12">
      <w:pPr>
        <w:pStyle w:val="Heading1"/>
        <w:ind w:left="-1276"/>
        <w:jc w:val="both"/>
        <w:rPr>
          <w:sz w:val="32"/>
        </w:rPr>
      </w:pPr>
      <w:r w:rsidRPr="002E228B">
        <w:rPr>
          <w:sz w:val="32"/>
        </w:rPr>
        <w:t>Who can apply for a review of Board decisions?</w:t>
      </w:r>
    </w:p>
    <w:p w:rsidR="00D11B12" w:rsidRPr="002E228B" w:rsidRDefault="00D11B12" w:rsidP="00D11B12">
      <w:pPr>
        <w:shd w:val="clear" w:color="auto" w:fill="FFFFFF"/>
        <w:spacing w:after="120"/>
        <w:ind w:left="-1276"/>
        <w:rPr>
          <w:rFonts w:ascii="Arial" w:eastAsia="Times New Roman" w:hAnsi="Arial" w:cs="Arial"/>
          <w:b/>
          <w:lang w:eastAsia="en-AU"/>
        </w:rPr>
      </w:pPr>
      <w:r w:rsidRPr="008C7597">
        <w:rPr>
          <w:rFonts w:ascii="Arial" w:eastAsia="Times New Roman" w:hAnsi="Arial" w:cs="Arial"/>
          <w:b/>
          <w:lang w:eastAsia="en-AU"/>
        </w:rPr>
        <w:t xml:space="preserve">An applicant </w:t>
      </w:r>
      <w:r w:rsidRPr="002E228B">
        <w:rPr>
          <w:rFonts w:ascii="Arial" w:eastAsia="Times New Roman" w:hAnsi="Arial" w:cs="Arial"/>
          <w:lang w:eastAsia="en-AU"/>
        </w:rPr>
        <w:t>is a</w:t>
      </w:r>
      <w:r>
        <w:rPr>
          <w:rFonts w:ascii="Arial" w:hAnsi="Arial" w:cs="Arial"/>
        </w:rPr>
        <w:t xml:space="preserve"> person who has applied for registration, including renewal. An applicant may seek review of decisions relating to:</w:t>
      </w:r>
    </w:p>
    <w:p w:rsidR="00D11B12" w:rsidRDefault="00D11B12" w:rsidP="00D11B12">
      <w:pPr>
        <w:pStyle w:val="ListParagraph"/>
        <w:numPr>
          <w:ilvl w:val="0"/>
          <w:numId w:val="2"/>
        </w:numPr>
        <w:spacing w:after="200" w:line="276" w:lineRule="auto"/>
        <w:ind w:left="-567"/>
        <w:jc w:val="both"/>
        <w:rPr>
          <w:rFonts w:ascii="Arial" w:hAnsi="Arial" w:cs="Arial"/>
        </w:rPr>
      </w:pPr>
      <w:r>
        <w:rPr>
          <w:rFonts w:ascii="Arial" w:hAnsi="Arial" w:cs="Arial"/>
        </w:rPr>
        <w:t>Refusal of registration</w:t>
      </w:r>
    </w:p>
    <w:p w:rsidR="00D11B12" w:rsidRDefault="00D11B12" w:rsidP="00D11B12">
      <w:pPr>
        <w:pStyle w:val="ListParagraph"/>
        <w:numPr>
          <w:ilvl w:val="0"/>
          <w:numId w:val="2"/>
        </w:numPr>
        <w:spacing w:after="200" w:line="276" w:lineRule="auto"/>
        <w:ind w:left="-567"/>
        <w:jc w:val="both"/>
        <w:rPr>
          <w:rFonts w:ascii="Arial" w:hAnsi="Arial" w:cs="Arial"/>
        </w:rPr>
      </w:pPr>
      <w:r>
        <w:rPr>
          <w:rFonts w:ascii="Arial" w:hAnsi="Arial" w:cs="Arial"/>
        </w:rPr>
        <w:t xml:space="preserve">Imposition or variation of a condition on registration </w:t>
      </w:r>
    </w:p>
    <w:p w:rsidR="00D11B12" w:rsidRPr="008C7597" w:rsidRDefault="00D11B12" w:rsidP="00D11B12">
      <w:pPr>
        <w:ind w:left="-1276"/>
        <w:rPr>
          <w:rFonts w:ascii="Arial" w:hAnsi="Arial" w:cs="Arial"/>
        </w:rPr>
      </w:pPr>
      <w:r w:rsidRPr="002E228B">
        <w:rPr>
          <w:rFonts w:ascii="Arial" w:hAnsi="Arial" w:cs="Arial"/>
          <w:b/>
        </w:rPr>
        <w:t>An applicant</w:t>
      </w:r>
      <w:r>
        <w:rPr>
          <w:rFonts w:ascii="Arial" w:hAnsi="Arial" w:cs="Arial"/>
        </w:rPr>
        <w:t xml:space="preserve"> may also be a Higher Education Institution seeking review of a Board decision relating to refusal to accredit a teacher education course.</w:t>
      </w:r>
    </w:p>
    <w:p w:rsidR="00D11B12" w:rsidRPr="002E228B" w:rsidRDefault="00D11B12" w:rsidP="00D11B12">
      <w:pPr>
        <w:spacing w:after="120"/>
        <w:ind w:left="-1276"/>
        <w:rPr>
          <w:rFonts w:ascii="Arial" w:eastAsia="Times New Roman" w:hAnsi="Arial" w:cs="Arial"/>
          <w:b/>
          <w:lang w:eastAsia="en-AU"/>
        </w:rPr>
      </w:pPr>
      <w:r w:rsidRPr="008C7597">
        <w:rPr>
          <w:rFonts w:ascii="Arial" w:eastAsia="Times New Roman" w:hAnsi="Arial" w:cs="Arial"/>
          <w:b/>
          <w:lang w:eastAsia="en-AU"/>
        </w:rPr>
        <w:t>A registered teacher</w:t>
      </w:r>
      <w:r>
        <w:rPr>
          <w:rFonts w:ascii="Arial" w:eastAsia="Times New Roman" w:hAnsi="Arial" w:cs="Arial"/>
          <w:b/>
          <w:lang w:eastAsia="en-AU"/>
        </w:rPr>
        <w:t xml:space="preserve"> </w:t>
      </w:r>
      <w:r>
        <w:rPr>
          <w:rFonts w:ascii="Arial" w:hAnsi="Arial" w:cs="Arial"/>
        </w:rPr>
        <w:t>may seek review of decisions relating to:</w:t>
      </w:r>
    </w:p>
    <w:p w:rsidR="00D11B12" w:rsidRPr="008C7597" w:rsidRDefault="00D11B12" w:rsidP="00D11B12">
      <w:pPr>
        <w:pStyle w:val="ListParagraph"/>
        <w:numPr>
          <w:ilvl w:val="0"/>
          <w:numId w:val="2"/>
        </w:numPr>
        <w:spacing w:after="200" w:line="276" w:lineRule="auto"/>
        <w:ind w:left="-567"/>
        <w:jc w:val="both"/>
        <w:rPr>
          <w:rFonts w:ascii="Arial" w:hAnsi="Arial" w:cs="Arial"/>
        </w:rPr>
      </w:pPr>
      <w:r w:rsidRPr="008C7597">
        <w:rPr>
          <w:rFonts w:ascii="Arial" w:hAnsi="Arial" w:cs="Arial"/>
        </w:rPr>
        <w:t xml:space="preserve">The cancellation of registration for reasons of disciplinary proceedings. </w:t>
      </w:r>
    </w:p>
    <w:p w:rsidR="00D11B12" w:rsidRPr="008C7597" w:rsidRDefault="00D11B12" w:rsidP="00D11B12">
      <w:pPr>
        <w:pStyle w:val="ListParagraph"/>
        <w:numPr>
          <w:ilvl w:val="0"/>
          <w:numId w:val="2"/>
        </w:numPr>
        <w:spacing w:after="200" w:line="276" w:lineRule="auto"/>
        <w:ind w:left="-567"/>
        <w:jc w:val="both"/>
        <w:rPr>
          <w:rFonts w:ascii="Arial" w:hAnsi="Arial" w:cs="Arial"/>
        </w:rPr>
      </w:pPr>
      <w:r w:rsidRPr="008C7597">
        <w:rPr>
          <w:rFonts w:ascii="Arial" w:hAnsi="Arial" w:cs="Arial"/>
        </w:rPr>
        <w:t>The suspension of registration following the appointment of an inquiry committee.</w:t>
      </w:r>
    </w:p>
    <w:p w:rsidR="00D11B12" w:rsidRPr="008C7597" w:rsidRDefault="00D11B12" w:rsidP="00D11B12">
      <w:pPr>
        <w:pStyle w:val="ListParagraph"/>
        <w:numPr>
          <w:ilvl w:val="0"/>
          <w:numId w:val="2"/>
        </w:numPr>
        <w:spacing w:after="200" w:line="276" w:lineRule="auto"/>
        <w:ind w:left="-567"/>
        <w:jc w:val="both"/>
        <w:rPr>
          <w:rFonts w:ascii="Arial" w:hAnsi="Arial" w:cs="Arial"/>
        </w:rPr>
      </w:pPr>
      <w:r w:rsidRPr="008C7597">
        <w:rPr>
          <w:rFonts w:ascii="Arial" w:hAnsi="Arial" w:cs="Arial"/>
        </w:rPr>
        <w:t>The imposition or variation of conditions on registration imposed through disciplinary proceedings.</w:t>
      </w:r>
    </w:p>
    <w:p w:rsidR="00D11B12" w:rsidRPr="008C7597" w:rsidRDefault="00D11B12" w:rsidP="00D11B12">
      <w:pPr>
        <w:pStyle w:val="ListParagraph"/>
        <w:numPr>
          <w:ilvl w:val="0"/>
          <w:numId w:val="2"/>
        </w:numPr>
        <w:spacing w:after="200" w:line="276" w:lineRule="auto"/>
        <w:ind w:left="-567"/>
        <w:jc w:val="both"/>
        <w:rPr>
          <w:rFonts w:ascii="Arial" w:hAnsi="Arial" w:cs="Arial"/>
        </w:rPr>
      </w:pPr>
      <w:r w:rsidRPr="008C7597">
        <w:rPr>
          <w:rFonts w:ascii="Arial" w:hAnsi="Arial" w:cs="Arial"/>
        </w:rPr>
        <w:t>Further action taken by the Board in relation to disciplinary proceedings without first holding an inquiry.</w:t>
      </w:r>
    </w:p>
    <w:p w:rsidR="00D11B12" w:rsidRPr="008C7597" w:rsidRDefault="00D11B12" w:rsidP="00D11B12">
      <w:pPr>
        <w:pStyle w:val="ListParagraph"/>
        <w:numPr>
          <w:ilvl w:val="0"/>
          <w:numId w:val="2"/>
        </w:numPr>
        <w:spacing w:after="200" w:line="276" w:lineRule="auto"/>
        <w:ind w:left="-567"/>
        <w:jc w:val="both"/>
        <w:rPr>
          <w:rFonts w:ascii="Arial" w:hAnsi="Arial" w:cs="Arial"/>
        </w:rPr>
      </w:pPr>
      <w:r w:rsidRPr="008C7597">
        <w:rPr>
          <w:rFonts w:ascii="Arial" w:hAnsi="Arial" w:cs="Arial"/>
        </w:rPr>
        <w:t>Cancellation under section 65A (loss of ochre card) or 66 (fail to provide information).</w:t>
      </w:r>
    </w:p>
    <w:p w:rsidR="00D11B12" w:rsidRDefault="00D11B12" w:rsidP="00D11B12">
      <w:pPr>
        <w:ind w:left="-1276"/>
        <w:rPr>
          <w:rFonts w:ascii="Arial" w:hAnsi="Arial" w:cs="Arial"/>
        </w:rPr>
      </w:pPr>
      <w:r w:rsidRPr="008C7597">
        <w:rPr>
          <w:rFonts w:ascii="Arial" w:eastAsia="Times New Roman" w:hAnsi="Arial" w:cs="Arial"/>
          <w:b/>
          <w:lang w:eastAsia="en-AU"/>
        </w:rPr>
        <w:t>A Complainant</w:t>
      </w:r>
      <w:r>
        <w:rPr>
          <w:rFonts w:ascii="Arial" w:eastAsia="Times New Roman" w:hAnsi="Arial" w:cs="Arial"/>
          <w:b/>
          <w:lang w:eastAsia="en-AU"/>
        </w:rPr>
        <w:t xml:space="preserve"> </w:t>
      </w:r>
      <w:r w:rsidRPr="002E228B">
        <w:rPr>
          <w:rFonts w:ascii="Arial" w:eastAsia="Times New Roman" w:hAnsi="Arial" w:cs="Arial"/>
          <w:lang w:eastAsia="en-AU"/>
        </w:rPr>
        <w:t>is a</w:t>
      </w:r>
      <w:r w:rsidRPr="002E228B">
        <w:rPr>
          <w:rFonts w:ascii="Arial" w:hAnsi="Arial" w:cs="Arial"/>
        </w:rPr>
        <w:t xml:space="preserve"> </w:t>
      </w:r>
      <w:r>
        <w:rPr>
          <w:rFonts w:ascii="Arial" w:hAnsi="Arial" w:cs="Arial"/>
        </w:rPr>
        <w:t xml:space="preserve">person who has made a complaint to the Board under section 49 of the Act that has resulted in a preliminary investigation or inquiry may apply for review of the </w:t>
      </w:r>
      <w:r w:rsidRPr="001F1593">
        <w:rPr>
          <w:rFonts w:ascii="Arial" w:hAnsi="Arial" w:cs="Arial"/>
        </w:rPr>
        <w:t xml:space="preserve">Board decisions </w:t>
      </w:r>
      <w:r>
        <w:rPr>
          <w:rFonts w:ascii="Arial" w:hAnsi="Arial" w:cs="Arial"/>
        </w:rPr>
        <w:t>at the outcome of that process if they are not satisfied with the Board decision.</w:t>
      </w:r>
    </w:p>
    <w:p w:rsidR="00D11B12" w:rsidRDefault="00D11B12" w:rsidP="00D11B12">
      <w:pPr>
        <w:ind w:left="-1276"/>
        <w:rPr>
          <w:rFonts w:ascii="Arial" w:hAnsi="Arial" w:cs="Arial"/>
        </w:rPr>
      </w:pPr>
    </w:p>
    <w:p w:rsidR="00D11B12" w:rsidRDefault="00D11B12" w:rsidP="00D11B12">
      <w:pPr>
        <w:pStyle w:val="NormalWeb"/>
        <w:spacing w:before="0" w:beforeAutospacing="0" w:after="0" w:afterAutospacing="0"/>
        <w:ind w:left="-1276"/>
        <w:jc w:val="both"/>
        <w:rPr>
          <w:rFonts w:ascii="Arial" w:eastAsiaTheme="minorHAnsi" w:hAnsi="Arial" w:cs="Arial"/>
          <w:sz w:val="22"/>
          <w:szCs w:val="22"/>
          <w:lang w:val="en-US" w:eastAsia="en-US" w:bidi="en-US"/>
        </w:rPr>
      </w:pPr>
      <w:r w:rsidRPr="004D568A">
        <w:rPr>
          <w:rFonts w:ascii="Arial" w:hAnsi="Arial" w:cs="Arial"/>
          <w:sz w:val="22"/>
          <w:szCs w:val="22"/>
        </w:rPr>
        <w:t>A person who can apply for review of a decision will be notified of the Board’s decision in writing and that they have a right to have the decision reviewed by NTCAT. The person can request a statement of reasons for the decision from the Board.</w:t>
      </w:r>
    </w:p>
    <w:p w:rsidR="00D11B12" w:rsidRPr="006B34EC" w:rsidRDefault="00D11B12" w:rsidP="006B34EC">
      <w:pPr>
        <w:pStyle w:val="Heading1"/>
        <w:ind w:left="-1276"/>
        <w:jc w:val="both"/>
        <w:rPr>
          <w:sz w:val="32"/>
        </w:rPr>
      </w:pPr>
      <w:r w:rsidRPr="006B34EC">
        <w:rPr>
          <w:sz w:val="32"/>
        </w:rPr>
        <w:t>How do I apply for review of a decision?</w:t>
      </w:r>
    </w:p>
    <w:p w:rsidR="00D11B12" w:rsidRDefault="00D11B12" w:rsidP="00D11B12">
      <w:pPr>
        <w:pStyle w:val="NormalWeb"/>
        <w:spacing w:before="0" w:beforeAutospacing="0" w:after="0" w:afterAutospacing="0"/>
        <w:ind w:left="-1276"/>
        <w:jc w:val="both"/>
        <w:rPr>
          <w:rFonts w:ascii="Arial" w:eastAsiaTheme="minorHAnsi" w:hAnsi="Arial" w:cs="Arial"/>
          <w:sz w:val="22"/>
          <w:szCs w:val="22"/>
          <w:lang w:val="en-US" w:eastAsia="en-US" w:bidi="en-US"/>
        </w:rPr>
      </w:pPr>
      <w:r>
        <w:rPr>
          <w:rFonts w:ascii="Arial" w:eastAsiaTheme="minorHAnsi" w:hAnsi="Arial" w:cs="Arial"/>
          <w:sz w:val="22"/>
          <w:szCs w:val="22"/>
          <w:lang w:val="en-US" w:eastAsia="en-US" w:bidi="en-US"/>
        </w:rPr>
        <w:t>Applications for review are made directly to NTCAT. The process for the review of the decision is determined by NTCAT.</w:t>
      </w:r>
    </w:p>
    <w:p w:rsidR="00D11B12" w:rsidRDefault="00D11B12" w:rsidP="00D11B12">
      <w:pPr>
        <w:pStyle w:val="NormalWeb"/>
        <w:spacing w:before="0" w:beforeAutospacing="0" w:after="0" w:afterAutospacing="0"/>
        <w:ind w:left="-1276"/>
        <w:jc w:val="both"/>
        <w:rPr>
          <w:rFonts w:ascii="Arial" w:eastAsiaTheme="minorHAnsi" w:hAnsi="Arial" w:cs="Arial"/>
          <w:sz w:val="22"/>
          <w:szCs w:val="22"/>
          <w:lang w:val="en-US" w:eastAsia="en-US" w:bidi="en-US"/>
        </w:rPr>
      </w:pPr>
    </w:p>
    <w:p w:rsidR="00D11B12" w:rsidRDefault="00D11B12" w:rsidP="00D11B12">
      <w:pPr>
        <w:pStyle w:val="NormalWeb"/>
        <w:spacing w:before="0" w:beforeAutospacing="0" w:after="0" w:afterAutospacing="0"/>
        <w:ind w:left="-1276"/>
        <w:jc w:val="both"/>
        <w:rPr>
          <w:rFonts w:ascii="Arial" w:eastAsiaTheme="minorHAnsi" w:hAnsi="Arial" w:cs="Arial"/>
          <w:sz w:val="22"/>
          <w:szCs w:val="22"/>
          <w:lang w:val="en-US" w:eastAsia="en-US" w:bidi="en-US"/>
        </w:rPr>
      </w:pPr>
    </w:p>
    <w:p w:rsidR="00A72FBC" w:rsidRDefault="00D11B12" w:rsidP="006B34EC">
      <w:pPr>
        <w:pStyle w:val="NormalWeb"/>
        <w:spacing w:before="0" w:beforeAutospacing="0" w:after="0" w:afterAutospacing="0"/>
        <w:ind w:left="-1276"/>
        <w:jc w:val="both"/>
        <w:rPr>
          <w:rFonts w:ascii="Arial" w:hAnsi="Arial" w:cs="Arial"/>
        </w:rPr>
      </w:pPr>
      <w:r>
        <w:rPr>
          <w:rFonts w:ascii="Arial" w:eastAsiaTheme="minorHAnsi" w:hAnsi="Arial" w:cs="Arial"/>
          <w:sz w:val="22"/>
          <w:szCs w:val="22"/>
          <w:lang w:val="en-US" w:eastAsia="en-US" w:bidi="en-US"/>
        </w:rPr>
        <w:t xml:space="preserve">For more information on Review of Board decisions, refer to the Review of Board decisions on the Board’s website </w:t>
      </w:r>
      <w:hyperlink r:id="rId8" w:history="1">
        <w:r w:rsidRPr="00030DA5">
          <w:rPr>
            <w:rStyle w:val="Hyperlink"/>
            <w:rFonts w:ascii="Arial" w:eastAsiaTheme="minorHAnsi" w:hAnsi="Arial" w:cs="Arial"/>
            <w:sz w:val="22"/>
            <w:szCs w:val="22"/>
            <w:lang w:val="en-US" w:eastAsia="en-US" w:bidi="en-US"/>
          </w:rPr>
          <w:t>www.trb.nt.gov.au</w:t>
        </w:r>
      </w:hyperlink>
      <w:r>
        <w:rPr>
          <w:rFonts w:ascii="Arial" w:eastAsiaTheme="minorHAnsi" w:hAnsi="Arial" w:cs="Arial"/>
          <w:sz w:val="22"/>
          <w:szCs w:val="22"/>
          <w:lang w:val="en-US" w:eastAsia="en-US" w:bidi="en-US"/>
        </w:rPr>
        <w:t>, or you may choose to seek legal advice or advice from NTCAT.</w:t>
      </w:r>
      <w:bookmarkStart w:id="0" w:name="_GoBack"/>
      <w:bookmarkEnd w:id="0"/>
    </w:p>
    <w:p w:rsidR="00A72FBC" w:rsidRDefault="00A72FBC" w:rsidP="000433FE">
      <w:pPr>
        <w:rPr>
          <w:rFonts w:ascii="Arial" w:hAnsi="Arial" w:cs="Arial"/>
        </w:rPr>
      </w:pPr>
    </w:p>
    <w:sectPr w:rsidR="00A72FBC" w:rsidSect="00A72FBC">
      <w:footerReference w:type="default" r:id="rId9"/>
      <w:headerReference w:type="first" r:id="rId10"/>
      <w:footerReference w:type="first" r:id="rId11"/>
      <w:pgSz w:w="11906" w:h="16838"/>
      <w:pgMar w:top="794" w:right="794" w:bottom="794" w:left="181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2C" w:rsidRDefault="00A74C2C" w:rsidP="00E61E12">
      <w:r>
        <w:separator/>
      </w:r>
    </w:p>
  </w:endnote>
  <w:endnote w:type="continuationSeparator" w:id="0">
    <w:p w:rsidR="00A74C2C" w:rsidRDefault="00A74C2C" w:rsidP="00E6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Default="00812423">
    <w:pPr>
      <w:pStyle w:val="Footer"/>
      <w:rPr>
        <w:bCs/>
        <w:sz w:val="20"/>
        <w:szCs w:val="20"/>
      </w:rPr>
    </w:pPr>
  </w:p>
  <w:tbl>
    <w:tblPr>
      <w:tblStyle w:val="TableGrid"/>
      <w:tblW w:w="10920" w:type="dxa"/>
      <w:tblInd w:w="-1281"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9"/>
      <w:gridCol w:w="1701"/>
    </w:tblGrid>
    <w:tr w:rsidR="00812423" w:rsidTr="00765A3C">
      <w:trPr>
        <w:trHeight w:val="510"/>
      </w:trPr>
      <w:tc>
        <w:tcPr>
          <w:tcW w:w="9219" w:type="dxa"/>
          <w:shd w:val="clear" w:color="auto" w:fill="auto"/>
          <w:vAlign w:val="bottom"/>
        </w:tcPr>
        <w:p w:rsidR="00812423" w:rsidRPr="00812423" w:rsidRDefault="00812423" w:rsidP="00812423">
          <w:pPr>
            <w:pStyle w:val="Header"/>
            <w:tabs>
              <w:tab w:val="clear" w:pos="4513"/>
              <w:tab w:val="clear" w:pos="9026"/>
            </w:tabs>
            <w:rPr>
              <w:rFonts w:eastAsia="Arial Unicode MS" w:cs="Arial Unicode MS"/>
              <w:sz w:val="20"/>
            </w:rPr>
          </w:pPr>
          <w:r w:rsidRPr="00812423">
            <w:rPr>
              <w:sz w:val="20"/>
              <w:szCs w:val="20"/>
            </w:rPr>
            <w:t xml:space="preserve">Page </w:t>
          </w:r>
          <w:r w:rsidRPr="00812423">
            <w:rPr>
              <w:bCs/>
              <w:sz w:val="20"/>
              <w:szCs w:val="20"/>
            </w:rPr>
            <w:fldChar w:fldCharType="begin"/>
          </w:r>
          <w:r w:rsidRPr="00812423">
            <w:rPr>
              <w:bCs/>
              <w:sz w:val="20"/>
              <w:szCs w:val="20"/>
            </w:rPr>
            <w:instrText xml:space="preserve"> PAGE  \* Arabic  \* MERGEFORMAT </w:instrText>
          </w:r>
          <w:r w:rsidRPr="00812423">
            <w:rPr>
              <w:bCs/>
              <w:sz w:val="20"/>
              <w:szCs w:val="20"/>
            </w:rPr>
            <w:fldChar w:fldCharType="separate"/>
          </w:r>
          <w:r w:rsidR="006B34EC">
            <w:rPr>
              <w:bCs/>
              <w:noProof/>
              <w:sz w:val="20"/>
              <w:szCs w:val="20"/>
            </w:rPr>
            <w:t>2</w:t>
          </w:r>
          <w:r w:rsidRPr="00812423">
            <w:rPr>
              <w:bCs/>
              <w:sz w:val="20"/>
              <w:szCs w:val="20"/>
            </w:rPr>
            <w:fldChar w:fldCharType="end"/>
          </w:r>
          <w:r w:rsidRPr="00812423">
            <w:rPr>
              <w:sz w:val="20"/>
              <w:szCs w:val="20"/>
            </w:rPr>
            <w:t xml:space="preserve"> of </w:t>
          </w:r>
          <w:r w:rsidRPr="00812423">
            <w:rPr>
              <w:bCs/>
              <w:sz w:val="20"/>
              <w:szCs w:val="20"/>
            </w:rPr>
            <w:fldChar w:fldCharType="begin"/>
          </w:r>
          <w:r w:rsidRPr="00812423">
            <w:rPr>
              <w:bCs/>
              <w:sz w:val="20"/>
              <w:szCs w:val="20"/>
            </w:rPr>
            <w:instrText xml:space="preserve"> NUMPAGES  \* Arabic  \* MERGEFORMAT </w:instrText>
          </w:r>
          <w:r w:rsidRPr="00812423">
            <w:rPr>
              <w:bCs/>
              <w:sz w:val="20"/>
              <w:szCs w:val="20"/>
            </w:rPr>
            <w:fldChar w:fldCharType="separate"/>
          </w:r>
          <w:r w:rsidR="006B34EC">
            <w:rPr>
              <w:bCs/>
              <w:noProof/>
              <w:sz w:val="20"/>
              <w:szCs w:val="20"/>
            </w:rPr>
            <w:t>2</w:t>
          </w:r>
          <w:r w:rsidRPr="00812423">
            <w:rPr>
              <w:bCs/>
              <w:sz w:val="20"/>
              <w:szCs w:val="20"/>
            </w:rPr>
            <w:fldChar w:fldCharType="end"/>
          </w:r>
        </w:p>
      </w:tc>
      <w:tc>
        <w:tcPr>
          <w:tcW w:w="1701" w:type="dxa"/>
          <w:shd w:val="clear" w:color="auto" w:fill="auto"/>
          <w:vAlign w:val="bottom"/>
        </w:tcPr>
        <w:p w:rsidR="00812423" w:rsidRPr="00812423" w:rsidRDefault="00812423" w:rsidP="00812423">
          <w:pPr>
            <w:pStyle w:val="Header"/>
            <w:tabs>
              <w:tab w:val="clear" w:pos="4513"/>
              <w:tab w:val="clear" w:pos="9026"/>
            </w:tabs>
            <w:jc w:val="right"/>
            <w:rPr>
              <w:rFonts w:eastAsia="Arial Unicode MS" w:cs="Arial Unicode MS"/>
              <w:b/>
              <w:sz w:val="20"/>
            </w:rPr>
          </w:pPr>
          <w:r>
            <w:rPr>
              <w:rFonts w:eastAsia="Arial Unicode MS" w:cs="Arial Unicode MS"/>
              <w:b/>
              <w:sz w:val="20"/>
            </w:rPr>
            <w:t>trb.nt.gov.au</w:t>
          </w:r>
        </w:p>
      </w:tc>
    </w:tr>
  </w:tbl>
  <w:p w:rsidR="00812423" w:rsidRPr="00E61E12" w:rsidRDefault="00812423" w:rsidP="00812423">
    <w:pPr>
      <w:pStyle w:val="Footer"/>
      <w:tabs>
        <w:tab w:val="clear" w:pos="4513"/>
        <w:tab w:val="clear" w:pos="9026"/>
      </w:tab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20"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2837"/>
      <w:gridCol w:w="2424"/>
      <w:gridCol w:w="2254"/>
      <w:gridCol w:w="2835"/>
      <w:gridCol w:w="283"/>
    </w:tblGrid>
    <w:tr w:rsidR="00142CEA" w:rsidTr="00812423">
      <w:trPr>
        <w:trHeight w:val="964"/>
      </w:trPr>
      <w:tc>
        <w:tcPr>
          <w:tcW w:w="287" w:type="dxa"/>
          <w:shd w:val="clear" w:color="auto" w:fill="002060"/>
          <w:vAlign w:val="center"/>
        </w:tcPr>
        <w:p w:rsidR="00142CEA" w:rsidRPr="00812423" w:rsidRDefault="00142CEA" w:rsidP="00142CEA">
          <w:pPr>
            <w:pStyle w:val="Header"/>
            <w:tabs>
              <w:tab w:val="clear" w:pos="4513"/>
              <w:tab w:val="clear" w:pos="9026"/>
            </w:tabs>
            <w:rPr>
              <w:rFonts w:eastAsia="Arial Unicode MS" w:cs="Arial Unicode MS"/>
              <w:b/>
              <w:sz w:val="20"/>
            </w:rPr>
          </w:pPr>
        </w:p>
      </w:tc>
      <w:tc>
        <w:tcPr>
          <w:tcW w:w="2837" w:type="dxa"/>
          <w:shd w:val="clear" w:color="auto" w:fill="002060"/>
          <w:vAlign w:val="center"/>
        </w:tcPr>
        <w:p w:rsidR="00142CEA" w:rsidRPr="00812423" w:rsidRDefault="00142CEA" w:rsidP="00142CEA">
          <w:pPr>
            <w:pStyle w:val="Header"/>
            <w:rPr>
              <w:rFonts w:eastAsia="Arial Unicode MS" w:cs="Arial Unicode MS"/>
              <w:b/>
              <w:color w:val="FFC000"/>
              <w:sz w:val="20"/>
            </w:rPr>
          </w:pPr>
          <w:r w:rsidRPr="00812423">
            <w:rPr>
              <w:rFonts w:eastAsia="Arial Unicode MS" w:cs="Arial Unicode MS"/>
              <w:b/>
              <w:color w:val="FFC000"/>
              <w:sz w:val="20"/>
            </w:rPr>
            <w:t>PHONE</w:t>
          </w:r>
          <w:r w:rsidR="00812423">
            <w:rPr>
              <w:rFonts w:eastAsia="Arial Unicode MS" w:cs="Arial Unicode MS"/>
              <w:b/>
              <w:color w:val="FFC000"/>
              <w:sz w:val="20"/>
            </w:rPr>
            <w:t xml:space="preserve"> </w:t>
          </w:r>
        </w:p>
        <w:p w:rsidR="00142CEA" w:rsidRPr="00812423" w:rsidRDefault="00142CEA" w:rsidP="00142CEA">
          <w:pPr>
            <w:pStyle w:val="Header"/>
            <w:rPr>
              <w:rFonts w:eastAsia="Arial Unicode MS" w:cs="Arial Unicode MS"/>
              <w:b/>
              <w:sz w:val="20"/>
            </w:rPr>
          </w:pPr>
          <w:r w:rsidRPr="00812423">
            <w:rPr>
              <w:rFonts w:eastAsia="Arial Unicode MS" w:cs="Arial Unicode MS"/>
              <w:b/>
              <w:sz w:val="20"/>
            </w:rPr>
            <w:t>1800 110 302 (Toll free)</w:t>
          </w:r>
          <w:r w:rsidR="00812423">
            <w:rPr>
              <w:rFonts w:eastAsia="Arial Unicode MS" w:cs="Arial Unicode MS"/>
              <w:b/>
              <w:sz w:val="20"/>
            </w:rPr>
            <w:t xml:space="preserve"> </w:t>
          </w:r>
        </w:p>
        <w:p w:rsidR="00142CEA" w:rsidRPr="00812423" w:rsidRDefault="00142CEA" w:rsidP="00142CEA">
          <w:pPr>
            <w:pStyle w:val="Header"/>
            <w:tabs>
              <w:tab w:val="clear" w:pos="4513"/>
              <w:tab w:val="clear" w:pos="9026"/>
            </w:tabs>
            <w:rPr>
              <w:rFonts w:eastAsia="Arial Unicode MS" w:cs="Arial Unicode MS"/>
              <w:b/>
              <w:sz w:val="20"/>
            </w:rPr>
          </w:pPr>
          <w:r w:rsidRPr="00812423">
            <w:rPr>
              <w:rFonts w:eastAsia="Arial Unicode MS" w:cs="Arial Unicode MS"/>
              <w:b/>
              <w:sz w:val="20"/>
            </w:rPr>
            <w:t>+ 61 08 8944 9388</w:t>
          </w:r>
          <w:r w:rsidR="00812423">
            <w:rPr>
              <w:rFonts w:eastAsia="Arial Unicode MS" w:cs="Arial Unicode MS"/>
              <w:b/>
              <w:sz w:val="20"/>
            </w:rPr>
            <w:t xml:space="preserve"> </w:t>
          </w:r>
        </w:p>
      </w:tc>
      <w:tc>
        <w:tcPr>
          <w:tcW w:w="2424" w:type="dxa"/>
          <w:shd w:val="clear" w:color="auto" w:fill="002060"/>
          <w:vAlign w:val="center"/>
        </w:tcPr>
        <w:p w:rsidR="00812423" w:rsidRPr="00812423" w:rsidRDefault="00812423" w:rsidP="00812423">
          <w:pPr>
            <w:pStyle w:val="Header"/>
            <w:rPr>
              <w:rFonts w:eastAsia="Arial Unicode MS" w:cs="Arial Unicode MS"/>
              <w:b/>
              <w:color w:val="FFC000"/>
              <w:sz w:val="20"/>
            </w:rPr>
          </w:pPr>
          <w:r w:rsidRPr="00812423">
            <w:rPr>
              <w:rFonts w:eastAsia="Arial Unicode MS" w:cs="Arial Unicode MS"/>
              <w:b/>
              <w:color w:val="FFC000"/>
              <w:sz w:val="20"/>
            </w:rPr>
            <w:t xml:space="preserve">WEBSITE </w:t>
          </w:r>
        </w:p>
        <w:p w:rsidR="00142CEA" w:rsidRDefault="006B34EC" w:rsidP="00812423">
          <w:pPr>
            <w:pStyle w:val="Header"/>
            <w:tabs>
              <w:tab w:val="clear" w:pos="4513"/>
              <w:tab w:val="clear" w:pos="9026"/>
            </w:tabs>
            <w:rPr>
              <w:rFonts w:eastAsia="Arial Unicode MS" w:cs="Arial Unicode MS"/>
              <w:b/>
              <w:color w:val="FFFFFF" w:themeColor="background1"/>
              <w:sz w:val="20"/>
            </w:rPr>
          </w:pPr>
          <w:hyperlink r:id="rId1" w:history="1">
            <w:r w:rsidR="00812423" w:rsidRPr="00812423">
              <w:rPr>
                <w:rStyle w:val="Hyperlink"/>
                <w:rFonts w:eastAsia="Arial Unicode MS" w:cs="Arial Unicode MS"/>
                <w:b/>
                <w:color w:val="FFFFFF" w:themeColor="background1"/>
                <w:sz w:val="20"/>
                <w:u w:val="none"/>
              </w:rPr>
              <w:t>www.trb.nt.gov.au</w:t>
            </w:r>
          </w:hyperlink>
          <w:r w:rsidR="00812423">
            <w:rPr>
              <w:rFonts w:eastAsia="Arial Unicode MS" w:cs="Arial Unicode MS"/>
              <w:b/>
              <w:color w:val="FFFFFF" w:themeColor="background1"/>
              <w:sz w:val="20"/>
            </w:rPr>
            <w:t xml:space="preserve"> </w:t>
          </w:r>
        </w:p>
        <w:p w:rsidR="00812423" w:rsidRPr="00812423" w:rsidRDefault="00812423" w:rsidP="00812423">
          <w:pPr>
            <w:pStyle w:val="Header"/>
            <w:tabs>
              <w:tab w:val="clear" w:pos="4513"/>
              <w:tab w:val="clear" w:pos="9026"/>
            </w:tabs>
            <w:rPr>
              <w:rFonts w:eastAsia="Arial Unicode MS" w:cs="Arial Unicode MS"/>
              <w:b/>
              <w:sz w:val="20"/>
            </w:rPr>
          </w:pPr>
        </w:p>
      </w:tc>
      <w:tc>
        <w:tcPr>
          <w:tcW w:w="2254" w:type="dxa"/>
          <w:shd w:val="clear" w:color="auto" w:fill="002060"/>
          <w:vAlign w:val="center"/>
        </w:tcPr>
        <w:p w:rsidR="00812423" w:rsidRPr="00812423" w:rsidRDefault="00812423" w:rsidP="00812423">
          <w:pPr>
            <w:pStyle w:val="Header"/>
            <w:rPr>
              <w:rFonts w:eastAsia="Arial Unicode MS" w:cs="Arial Unicode MS"/>
              <w:b/>
              <w:color w:val="FFC000"/>
              <w:sz w:val="20"/>
            </w:rPr>
          </w:pPr>
          <w:r w:rsidRPr="00812423">
            <w:rPr>
              <w:rFonts w:eastAsia="Arial Unicode MS" w:cs="Arial Unicode MS"/>
              <w:b/>
              <w:color w:val="FFC000"/>
              <w:sz w:val="20"/>
            </w:rPr>
            <w:t>EMAIL</w:t>
          </w:r>
          <w:r>
            <w:rPr>
              <w:rFonts w:eastAsia="Arial Unicode MS" w:cs="Arial Unicode MS"/>
              <w:b/>
              <w:color w:val="FFC000"/>
              <w:sz w:val="20"/>
            </w:rPr>
            <w:t xml:space="preserve"> </w:t>
          </w:r>
        </w:p>
        <w:p w:rsidR="00142CEA" w:rsidRDefault="006B34EC" w:rsidP="00812423">
          <w:pPr>
            <w:pStyle w:val="Header"/>
            <w:tabs>
              <w:tab w:val="clear" w:pos="4513"/>
              <w:tab w:val="clear" w:pos="9026"/>
            </w:tabs>
            <w:rPr>
              <w:rFonts w:eastAsia="Arial Unicode MS" w:cs="Arial Unicode MS"/>
              <w:b/>
              <w:color w:val="FFFFFF" w:themeColor="background1"/>
              <w:sz w:val="20"/>
            </w:rPr>
          </w:pPr>
          <w:hyperlink r:id="rId2" w:history="1">
            <w:r w:rsidR="00812423" w:rsidRPr="00812423">
              <w:rPr>
                <w:rStyle w:val="Hyperlink"/>
                <w:rFonts w:eastAsia="Arial Unicode MS" w:cs="Arial Unicode MS"/>
                <w:b/>
                <w:color w:val="FFFFFF" w:themeColor="background1"/>
                <w:sz w:val="20"/>
                <w:u w:val="none"/>
              </w:rPr>
              <w:t>trb@nt.gov.au</w:t>
            </w:r>
          </w:hyperlink>
          <w:r w:rsidR="00812423">
            <w:rPr>
              <w:rFonts w:eastAsia="Arial Unicode MS" w:cs="Arial Unicode MS"/>
              <w:b/>
              <w:color w:val="FFFFFF" w:themeColor="background1"/>
              <w:sz w:val="20"/>
            </w:rPr>
            <w:t xml:space="preserve"> </w:t>
          </w:r>
        </w:p>
        <w:p w:rsidR="00812423" w:rsidRPr="00812423" w:rsidRDefault="00812423" w:rsidP="00812423">
          <w:pPr>
            <w:pStyle w:val="Header"/>
            <w:tabs>
              <w:tab w:val="clear" w:pos="4513"/>
              <w:tab w:val="clear" w:pos="9026"/>
            </w:tabs>
            <w:rPr>
              <w:rFonts w:eastAsia="Arial Unicode MS" w:cs="Arial Unicode MS"/>
              <w:b/>
              <w:sz w:val="20"/>
            </w:rPr>
          </w:pPr>
        </w:p>
      </w:tc>
      <w:tc>
        <w:tcPr>
          <w:tcW w:w="2835" w:type="dxa"/>
          <w:shd w:val="clear" w:color="auto" w:fill="002060"/>
          <w:vAlign w:val="center"/>
        </w:tcPr>
        <w:p w:rsidR="00812423" w:rsidRPr="00812423" w:rsidRDefault="00812423" w:rsidP="00812423">
          <w:pPr>
            <w:pStyle w:val="Header"/>
            <w:rPr>
              <w:rFonts w:eastAsia="Arial Unicode MS" w:cs="Arial Unicode MS"/>
              <w:b/>
              <w:color w:val="FFC000"/>
              <w:sz w:val="20"/>
            </w:rPr>
          </w:pPr>
          <w:r w:rsidRPr="00812423">
            <w:rPr>
              <w:rFonts w:eastAsia="Arial Unicode MS" w:cs="Arial Unicode MS"/>
              <w:b/>
              <w:color w:val="FFC000"/>
              <w:sz w:val="20"/>
            </w:rPr>
            <w:t xml:space="preserve">POSTAL ADDRESS </w:t>
          </w:r>
        </w:p>
        <w:p w:rsidR="00812423" w:rsidRPr="00812423" w:rsidRDefault="00812423" w:rsidP="00812423">
          <w:pPr>
            <w:pStyle w:val="Header"/>
            <w:rPr>
              <w:rFonts w:eastAsia="Arial Unicode MS" w:cs="Arial Unicode MS"/>
              <w:b/>
              <w:sz w:val="20"/>
            </w:rPr>
          </w:pPr>
          <w:r w:rsidRPr="00812423">
            <w:rPr>
              <w:rFonts w:eastAsia="Arial Unicode MS" w:cs="Arial Unicode MS"/>
              <w:b/>
              <w:sz w:val="20"/>
            </w:rPr>
            <w:t>GPO Box 1675</w:t>
          </w:r>
          <w:r>
            <w:rPr>
              <w:rFonts w:eastAsia="Arial Unicode MS" w:cs="Arial Unicode MS"/>
              <w:b/>
              <w:sz w:val="20"/>
            </w:rPr>
            <w:t xml:space="preserve"> </w:t>
          </w:r>
        </w:p>
        <w:p w:rsidR="00142CEA" w:rsidRPr="00812423" w:rsidRDefault="00812423" w:rsidP="00812423">
          <w:pPr>
            <w:pStyle w:val="Header"/>
            <w:tabs>
              <w:tab w:val="clear" w:pos="4513"/>
              <w:tab w:val="clear" w:pos="9026"/>
            </w:tabs>
            <w:rPr>
              <w:rFonts w:eastAsia="Arial Unicode MS" w:cs="Arial Unicode MS"/>
              <w:b/>
              <w:sz w:val="20"/>
            </w:rPr>
          </w:pPr>
          <w:r w:rsidRPr="00812423">
            <w:rPr>
              <w:rFonts w:eastAsia="Arial Unicode MS" w:cs="Arial Unicode MS"/>
              <w:b/>
              <w:sz w:val="20"/>
            </w:rPr>
            <w:t>DARWIN  NT  0801</w:t>
          </w:r>
          <w:r>
            <w:rPr>
              <w:rFonts w:eastAsia="Arial Unicode MS" w:cs="Arial Unicode MS"/>
              <w:b/>
              <w:sz w:val="20"/>
            </w:rPr>
            <w:t xml:space="preserve"> </w:t>
          </w:r>
        </w:p>
      </w:tc>
      <w:tc>
        <w:tcPr>
          <w:tcW w:w="283" w:type="dxa"/>
          <w:shd w:val="clear" w:color="auto" w:fill="002060"/>
          <w:vAlign w:val="center"/>
        </w:tcPr>
        <w:p w:rsidR="00142CEA" w:rsidRPr="00812423" w:rsidRDefault="00142CEA" w:rsidP="00142CEA">
          <w:pPr>
            <w:pStyle w:val="Header"/>
            <w:tabs>
              <w:tab w:val="clear" w:pos="4513"/>
              <w:tab w:val="clear" w:pos="9026"/>
            </w:tabs>
            <w:rPr>
              <w:rFonts w:eastAsia="Arial Unicode MS" w:cs="Arial Unicode MS"/>
              <w:b/>
              <w:sz w:val="20"/>
            </w:rPr>
          </w:pPr>
        </w:p>
      </w:tc>
    </w:tr>
  </w:tbl>
  <w:p w:rsidR="00A74C2C" w:rsidRPr="00E61E12" w:rsidRDefault="00A74C2C" w:rsidP="007B128F">
    <w:pPr>
      <w:pStyle w:val="Footer"/>
      <w:tabs>
        <w:tab w:val="clear" w:pos="4513"/>
        <w:tab w:val="clear" w:pos="9026"/>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2C" w:rsidRDefault="00A74C2C" w:rsidP="00E61E12">
      <w:r>
        <w:separator/>
      </w:r>
    </w:p>
  </w:footnote>
  <w:footnote w:type="continuationSeparator" w:id="0">
    <w:p w:rsidR="00A74C2C" w:rsidRDefault="00A74C2C" w:rsidP="00E6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20"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7"/>
      <w:gridCol w:w="5103"/>
    </w:tblGrid>
    <w:tr w:rsidR="00A72FBC" w:rsidTr="00812423">
      <w:tc>
        <w:tcPr>
          <w:tcW w:w="5817" w:type="dxa"/>
          <w:shd w:val="clear" w:color="auto" w:fill="002060"/>
          <w:vAlign w:val="center"/>
        </w:tcPr>
        <w:p w:rsidR="00A72FBC" w:rsidRPr="00A72FBC" w:rsidRDefault="00A72FBC" w:rsidP="00A72FBC">
          <w:pPr>
            <w:pStyle w:val="Header"/>
            <w:tabs>
              <w:tab w:val="clear" w:pos="4513"/>
              <w:tab w:val="clear" w:pos="9026"/>
            </w:tabs>
            <w:rPr>
              <w:rFonts w:eastAsia="Arial Unicode MS" w:cs="Arial Unicode MS"/>
              <w:b/>
              <w:spacing w:val="20"/>
              <w:sz w:val="100"/>
              <w:szCs w:val="100"/>
            </w:rPr>
          </w:pPr>
          <w:r w:rsidRPr="00A72FBC">
            <w:rPr>
              <w:rFonts w:eastAsia="Arial Unicode MS" w:cs="Arial Unicode MS"/>
              <w:b/>
              <w:spacing w:val="20"/>
              <w:sz w:val="100"/>
              <w:szCs w:val="100"/>
            </w:rPr>
            <w:t>TRB</w:t>
          </w:r>
        </w:p>
      </w:tc>
      <w:tc>
        <w:tcPr>
          <w:tcW w:w="5103" w:type="dxa"/>
          <w:shd w:val="clear" w:color="auto" w:fill="002060"/>
          <w:vAlign w:val="center"/>
        </w:tcPr>
        <w:p w:rsidR="00A72FBC" w:rsidRPr="00A72FBC" w:rsidRDefault="00A72FBC" w:rsidP="00A72FBC">
          <w:pPr>
            <w:pStyle w:val="Header"/>
            <w:tabs>
              <w:tab w:val="clear" w:pos="4513"/>
              <w:tab w:val="clear" w:pos="9026"/>
            </w:tabs>
            <w:rPr>
              <w:rFonts w:eastAsia="Arial Unicode MS" w:cs="Arial Unicode MS"/>
              <w:b/>
              <w:sz w:val="30"/>
              <w:szCs w:val="30"/>
            </w:rPr>
          </w:pPr>
          <w:r w:rsidRPr="00A72FBC">
            <w:rPr>
              <w:rFonts w:eastAsia="Arial Unicode MS" w:cs="Arial Unicode MS"/>
              <w:b/>
              <w:sz w:val="30"/>
              <w:szCs w:val="30"/>
            </w:rPr>
            <w:t>TEACHER REGISTRATION BOARD</w:t>
          </w:r>
          <w:r w:rsidRPr="00A72FBC">
            <w:rPr>
              <w:rFonts w:eastAsia="Arial Unicode MS" w:cs="Arial Unicode MS"/>
              <w:b/>
              <w:sz w:val="30"/>
              <w:szCs w:val="30"/>
            </w:rPr>
            <w:br/>
            <w:t>of the Northern Territory</w:t>
          </w:r>
        </w:p>
      </w:tc>
    </w:tr>
    <w:tr w:rsidR="00A72FBC" w:rsidTr="00812423">
      <w:tc>
        <w:tcPr>
          <w:tcW w:w="5817" w:type="dxa"/>
          <w:shd w:val="clear" w:color="auto" w:fill="00B0F0"/>
          <w:vAlign w:val="center"/>
        </w:tcPr>
        <w:p w:rsidR="00A72FBC" w:rsidRPr="00A72FBC" w:rsidRDefault="00A72FBC" w:rsidP="00A72FBC">
          <w:pPr>
            <w:pStyle w:val="Header"/>
            <w:tabs>
              <w:tab w:val="clear" w:pos="4513"/>
              <w:tab w:val="clear" w:pos="9026"/>
            </w:tabs>
            <w:rPr>
              <w:rFonts w:eastAsia="Arial Unicode MS" w:cs="Arial Unicode MS"/>
              <w:b/>
              <w:sz w:val="6"/>
              <w:szCs w:val="10"/>
            </w:rPr>
          </w:pPr>
        </w:p>
      </w:tc>
      <w:tc>
        <w:tcPr>
          <w:tcW w:w="5103" w:type="dxa"/>
          <w:shd w:val="clear" w:color="auto" w:fill="00B0F0"/>
          <w:vAlign w:val="center"/>
        </w:tcPr>
        <w:p w:rsidR="00A72FBC" w:rsidRPr="00A72FBC" w:rsidRDefault="00A72FBC" w:rsidP="00A72FBC">
          <w:pPr>
            <w:pStyle w:val="Header"/>
            <w:tabs>
              <w:tab w:val="clear" w:pos="4513"/>
              <w:tab w:val="clear" w:pos="9026"/>
            </w:tabs>
            <w:rPr>
              <w:rFonts w:eastAsia="Arial Unicode MS" w:cs="Arial Unicode MS"/>
              <w:b/>
              <w:sz w:val="6"/>
              <w:szCs w:val="10"/>
            </w:rPr>
          </w:pPr>
        </w:p>
      </w:tc>
    </w:tr>
  </w:tbl>
  <w:p w:rsidR="00A74C2C" w:rsidRDefault="00A74C2C" w:rsidP="00EE6ED6">
    <w:pPr>
      <w:pStyle w:val="Header"/>
      <w:tabs>
        <w:tab w:val="clear" w:pos="4513"/>
        <w:tab w:val="clear" w:pos="9026"/>
      </w:tabs>
      <w:rPr>
        <w:rFonts w:eastAsia="Arial Unicode MS" w:cs="Arial Unicode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5C63"/>
    <w:multiLevelType w:val="hybridMultilevel"/>
    <w:tmpl w:val="35FA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D33C16"/>
    <w:multiLevelType w:val="hybridMultilevel"/>
    <w:tmpl w:val="B7E8B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12"/>
    <w:rsid w:val="00007F9E"/>
    <w:rsid w:val="00037DFF"/>
    <w:rsid w:val="000433FE"/>
    <w:rsid w:val="00085C3A"/>
    <w:rsid w:val="000A7DA5"/>
    <w:rsid w:val="000D58D8"/>
    <w:rsid w:val="00101E56"/>
    <w:rsid w:val="0010262C"/>
    <w:rsid w:val="00142CEA"/>
    <w:rsid w:val="00160877"/>
    <w:rsid w:val="00163C6D"/>
    <w:rsid w:val="00173164"/>
    <w:rsid w:val="001761A7"/>
    <w:rsid w:val="001F5FE1"/>
    <w:rsid w:val="002261D5"/>
    <w:rsid w:val="002374C3"/>
    <w:rsid w:val="00240ACB"/>
    <w:rsid w:val="00253171"/>
    <w:rsid w:val="002704DB"/>
    <w:rsid w:val="002F6489"/>
    <w:rsid w:val="003115A3"/>
    <w:rsid w:val="00374C29"/>
    <w:rsid w:val="003766CE"/>
    <w:rsid w:val="003A1022"/>
    <w:rsid w:val="003B120E"/>
    <w:rsid w:val="003B66B0"/>
    <w:rsid w:val="003C5F3E"/>
    <w:rsid w:val="003E4B29"/>
    <w:rsid w:val="003F5514"/>
    <w:rsid w:val="00402A80"/>
    <w:rsid w:val="004141F3"/>
    <w:rsid w:val="00464D1F"/>
    <w:rsid w:val="004874B9"/>
    <w:rsid w:val="004E31FA"/>
    <w:rsid w:val="0055075F"/>
    <w:rsid w:val="00553BDE"/>
    <w:rsid w:val="00576586"/>
    <w:rsid w:val="006257D3"/>
    <w:rsid w:val="006456B5"/>
    <w:rsid w:val="0066733F"/>
    <w:rsid w:val="006B34EC"/>
    <w:rsid w:val="00741549"/>
    <w:rsid w:val="0076369D"/>
    <w:rsid w:val="00763C8A"/>
    <w:rsid w:val="00765A3C"/>
    <w:rsid w:val="00782F4F"/>
    <w:rsid w:val="00796C19"/>
    <w:rsid w:val="007A42B0"/>
    <w:rsid w:val="007B128F"/>
    <w:rsid w:val="007B57DD"/>
    <w:rsid w:val="007B7338"/>
    <w:rsid w:val="007C540D"/>
    <w:rsid w:val="007D7050"/>
    <w:rsid w:val="007E7E54"/>
    <w:rsid w:val="00806051"/>
    <w:rsid w:val="00812423"/>
    <w:rsid w:val="00882DAD"/>
    <w:rsid w:val="008A7250"/>
    <w:rsid w:val="008B5F8E"/>
    <w:rsid w:val="008B7437"/>
    <w:rsid w:val="0090026E"/>
    <w:rsid w:val="009017C1"/>
    <w:rsid w:val="009143A1"/>
    <w:rsid w:val="0092341E"/>
    <w:rsid w:val="009271FF"/>
    <w:rsid w:val="009650C3"/>
    <w:rsid w:val="0096547B"/>
    <w:rsid w:val="009D6E4A"/>
    <w:rsid w:val="00A20A11"/>
    <w:rsid w:val="00A31C7D"/>
    <w:rsid w:val="00A37B95"/>
    <w:rsid w:val="00A529ED"/>
    <w:rsid w:val="00A54DCE"/>
    <w:rsid w:val="00A72FBC"/>
    <w:rsid w:val="00A74C2C"/>
    <w:rsid w:val="00A925E8"/>
    <w:rsid w:val="00AA3DB9"/>
    <w:rsid w:val="00AE2940"/>
    <w:rsid w:val="00B00EB8"/>
    <w:rsid w:val="00B321FD"/>
    <w:rsid w:val="00B75C16"/>
    <w:rsid w:val="00BC7150"/>
    <w:rsid w:val="00C323C5"/>
    <w:rsid w:val="00C62114"/>
    <w:rsid w:val="00C6352E"/>
    <w:rsid w:val="00C740A5"/>
    <w:rsid w:val="00C8140A"/>
    <w:rsid w:val="00CB638D"/>
    <w:rsid w:val="00CD721E"/>
    <w:rsid w:val="00CF5103"/>
    <w:rsid w:val="00D11B12"/>
    <w:rsid w:val="00D173AE"/>
    <w:rsid w:val="00D3625A"/>
    <w:rsid w:val="00D55F67"/>
    <w:rsid w:val="00D60F77"/>
    <w:rsid w:val="00D97AFC"/>
    <w:rsid w:val="00DE013A"/>
    <w:rsid w:val="00DE0ACB"/>
    <w:rsid w:val="00E02D93"/>
    <w:rsid w:val="00E140F4"/>
    <w:rsid w:val="00E43BBE"/>
    <w:rsid w:val="00E45A7B"/>
    <w:rsid w:val="00E61E12"/>
    <w:rsid w:val="00E63BAC"/>
    <w:rsid w:val="00E85332"/>
    <w:rsid w:val="00EA457D"/>
    <w:rsid w:val="00EE6ED6"/>
    <w:rsid w:val="00F3649A"/>
    <w:rsid w:val="00F40B81"/>
    <w:rsid w:val="00F45D5B"/>
    <w:rsid w:val="00F779AC"/>
    <w:rsid w:val="00FB68D5"/>
    <w:rsid w:val="00FE03E8"/>
    <w:rsid w:val="00FE1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6CE4CD"/>
  <w15:chartTrackingRefBased/>
  <w15:docId w15:val="{A15A5124-4BAD-4B26-9F0B-569B996B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2E"/>
    <w:rPr>
      <w:rFonts w:ascii="Lato" w:hAnsi="Lato"/>
    </w:rPr>
  </w:style>
  <w:style w:type="paragraph" w:styleId="Heading1">
    <w:name w:val="heading 1"/>
    <w:basedOn w:val="Normal"/>
    <w:next w:val="Normal"/>
    <w:link w:val="Heading1Char"/>
    <w:uiPriority w:val="9"/>
    <w:qFormat/>
    <w:rsid w:val="00037DFF"/>
    <w:pPr>
      <w:keepNext/>
      <w:keepLines/>
      <w:spacing w:before="240"/>
      <w:outlineLvl w:val="0"/>
    </w:pPr>
    <w:rPr>
      <w:rFonts w:ascii="Lato Semibold" w:eastAsiaTheme="majorEastAsia" w:hAnsi="Lato Semibold" w:cstheme="majorBidi"/>
      <w:color w:val="1F1F5F" w:themeColor="text1"/>
      <w:sz w:val="36"/>
      <w:szCs w:val="32"/>
    </w:rPr>
  </w:style>
  <w:style w:type="paragraph" w:styleId="Heading2">
    <w:name w:val="heading 2"/>
    <w:basedOn w:val="Normal"/>
    <w:next w:val="Normal"/>
    <w:link w:val="Heading2Char"/>
    <w:uiPriority w:val="9"/>
    <w:unhideWhenUsed/>
    <w:qFormat/>
    <w:rsid w:val="00037DFF"/>
    <w:pPr>
      <w:keepNext/>
      <w:keepLines/>
      <w:spacing w:before="240"/>
      <w:outlineLvl w:val="1"/>
    </w:pPr>
    <w:rPr>
      <w:rFonts w:ascii="Lato Semibold" w:eastAsiaTheme="majorEastAsia" w:hAnsi="Lato Semibold" w:cstheme="majorBidi"/>
      <w:color w:val="454347"/>
      <w:sz w:val="32"/>
      <w:szCs w:val="26"/>
    </w:rPr>
  </w:style>
  <w:style w:type="paragraph" w:styleId="Heading3">
    <w:name w:val="heading 3"/>
    <w:basedOn w:val="Normal"/>
    <w:next w:val="Normal"/>
    <w:link w:val="Heading3Char"/>
    <w:uiPriority w:val="9"/>
    <w:unhideWhenUsed/>
    <w:qFormat/>
    <w:rsid w:val="00037DFF"/>
    <w:pPr>
      <w:keepNext/>
      <w:keepLines/>
      <w:spacing w:before="240"/>
      <w:outlineLvl w:val="2"/>
    </w:pPr>
    <w:rPr>
      <w:rFonts w:ascii="Lato Semibold" w:eastAsiaTheme="majorEastAsia" w:hAnsi="Lato Semibold" w:cstheme="majorBidi"/>
      <w:color w:val="1F1F5F" w:themeColor="text1"/>
      <w:sz w:val="28"/>
      <w:szCs w:val="24"/>
    </w:rPr>
  </w:style>
  <w:style w:type="paragraph" w:styleId="Heading4">
    <w:name w:val="heading 4"/>
    <w:basedOn w:val="Normal"/>
    <w:next w:val="Normal"/>
    <w:link w:val="Heading4Char"/>
    <w:uiPriority w:val="9"/>
    <w:unhideWhenUsed/>
    <w:qFormat/>
    <w:rsid w:val="00037DFF"/>
    <w:pPr>
      <w:keepNext/>
      <w:keepLines/>
      <w:spacing w:before="240"/>
      <w:outlineLvl w:val="3"/>
    </w:pPr>
    <w:rPr>
      <w:rFonts w:ascii="Lato Semibold" w:eastAsiaTheme="majorEastAsia" w:hAnsi="Lato Semibold" w:cstheme="majorBidi"/>
      <w:i/>
      <w:iCs/>
      <w:color w:val="45434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DFF"/>
    <w:rPr>
      <w:rFonts w:ascii="Lato Semibold" w:eastAsiaTheme="majorEastAsia" w:hAnsi="Lato Semibold" w:cstheme="majorBidi"/>
      <w:color w:val="1F1F5F" w:themeColor="text1"/>
      <w:sz w:val="36"/>
      <w:szCs w:val="32"/>
    </w:rPr>
  </w:style>
  <w:style w:type="paragraph" w:styleId="Header">
    <w:name w:val="header"/>
    <w:basedOn w:val="Normal"/>
    <w:link w:val="HeaderChar"/>
    <w:uiPriority w:val="99"/>
    <w:unhideWhenUsed/>
    <w:rsid w:val="00E61E12"/>
    <w:pPr>
      <w:tabs>
        <w:tab w:val="center" w:pos="4513"/>
        <w:tab w:val="right" w:pos="9026"/>
      </w:tabs>
    </w:pPr>
  </w:style>
  <w:style w:type="character" w:customStyle="1" w:styleId="HeaderChar">
    <w:name w:val="Header Char"/>
    <w:basedOn w:val="DefaultParagraphFont"/>
    <w:link w:val="Header"/>
    <w:uiPriority w:val="99"/>
    <w:rsid w:val="00E61E12"/>
  </w:style>
  <w:style w:type="paragraph" w:styleId="Footer">
    <w:name w:val="footer"/>
    <w:basedOn w:val="Normal"/>
    <w:link w:val="FooterChar"/>
    <w:uiPriority w:val="99"/>
    <w:unhideWhenUsed/>
    <w:rsid w:val="00E61E12"/>
    <w:pPr>
      <w:tabs>
        <w:tab w:val="center" w:pos="4513"/>
        <w:tab w:val="right" w:pos="9026"/>
      </w:tabs>
    </w:pPr>
  </w:style>
  <w:style w:type="character" w:customStyle="1" w:styleId="FooterChar">
    <w:name w:val="Footer Char"/>
    <w:basedOn w:val="DefaultParagraphFont"/>
    <w:link w:val="Footer"/>
    <w:uiPriority w:val="99"/>
    <w:rsid w:val="00E61E12"/>
  </w:style>
  <w:style w:type="character" w:styleId="PageNumber">
    <w:name w:val="page number"/>
    <w:aliases w:val="Page number"/>
    <w:basedOn w:val="DefaultParagraphFont"/>
    <w:uiPriority w:val="8"/>
    <w:rsid w:val="00E61E12"/>
    <w:rPr>
      <w:rFonts w:ascii="Lato" w:hAnsi="Lato"/>
      <w:sz w:val="19"/>
    </w:rPr>
  </w:style>
  <w:style w:type="paragraph" w:styleId="Title">
    <w:name w:val="Title"/>
    <w:basedOn w:val="Normal"/>
    <w:next w:val="Normal"/>
    <w:link w:val="TitleChar"/>
    <w:uiPriority w:val="10"/>
    <w:qFormat/>
    <w:rsid w:val="00037DFF"/>
    <w:pPr>
      <w:contextualSpacing/>
    </w:pPr>
    <w:rPr>
      <w:rFonts w:asciiTheme="majorHAnsi" w:eastAsiaTheme="majorEastAsia" w:hAnsiTheme="majorHAnsi" w:cstheme="majorBidi"/>
      <w:color w:val="1F1F5F" w:themeColor="text1"/>
      <w:spacing w:val="-10"/>
      <w:kern w:val="28"/>
      <w:sz w:val="60"/>
      <w:szCs w:val="56"/>
    </w:rPr>
  </w:style>
  <w:style w:type="character" w:customStyle="1" w:styleId="TitleChar">
    <w:name w:val="Title Char"/>
    <w:basedOn w:val="DefaultParagraphFont"/>
    <w:link w:val="Title"/>
    <w:uiPriority w:val="10"/>
    <w:rsid w:val="00037DFF"/>
    <w:rPr>
      <w:rFonts w:asciiTheme="majorHAnsi" w:eastAsiaTheme="majorEastAsia" w:hAnsiTheme="majorHAnsi" w:cstheme="majorBidi"/>
      <w:color w:val="1F1F5F" w:themeColor="text1"/>
      <w:spacing w:val="-10"/>
      <w:kern w:val="28"/>
      <w:sz w:val="60"/>
      <w:szCs w:val="56"/>
    </w:rPr>
  </w:style>
  <w:style w:type="paragraph" w:styleId="Subtitle">
    <w:name w:val="Subtitle"/>
    <w:basedOn w:val="Normal"/>
    <w:next w:val="Normal"/>
    <w:link w:val="SubtitleChar"/>
    <w:uiPriority w:val="11"/>
    <w:qFormat/>
    <w:rsid w:val="003115A3"/>
    <w:pPr>
      <w:numPr>
        <w:ilvl w:val="1"/>
      </w:numPr>
      <w:spacing w:after="160"/>
    </w:pPr>
    <w:rPr>
      <w:rFonts w:asciiTheme="majorHAnsi" w:eastAsiaTheme="minorEastAsia" w:hAnsiTheme="majorHAnsi"/>
      <w:color w:val="127CC0" w:themeColor="accent2"/>
      <w:spacing w:val="15"/>
      <w:sz w:val="40"/>
    </w:rPr>
  </w:style>
  <w:style w:type="character" w:customStyle="1" w:styleId="SubtitleChar">
    <w:name w:val="Subtitle Char"/>
    <w:basedOn w:val="DefaultParagraphFont"/>
    <w:link w:val="Subtitle"/>
    <w:uiPriority w:val="11"/>
    <w:rsid w:val="003115A3"/>
    <w:rPr>
      <w:rFonts w:asciiTheme="majorHAnsi" w:eastAsiaTheme="minorEastAsia" w:hAnsiTheme="majorHAnsi"/>
      <w:color w:val="127CC0" w:themeColor="accent2"/>
      <w:spacing w:val="15"/>
      <w:sz w:val="40"/>
    </w:rPr>
  </w:style>
  <w:style w:type="character" w:customStyle="1" w:styleId="Heading2Char">
    <w:name w:val="Heading 2 Char"/>
    <w:basedOn w:val="DefaultParagraphFont"/>
    <w:link w:val="Heading2"/>
    <w:uiPriority w:val="9"/>
    <w:rsid w:val="00037DFF"/>
    <w:rPr>
      <w:rFonts w:ascii="Lato Semibold" w:eastAsiaTheme="majorEastAsia" w:hAnsi="Lato Semibold" w:cstheme="majorBidi"/>
      <w:color w:val="454347"/>
      <w:sz w:val="32"/>
      <w:szCs w:val="26"/>
    </w:rPr>
  </w:style>
  <w:style w:type="character" w:customStyle="1" w:styleId="Heading3Char">
    <w:name w:val="Heading 3 Char"/>
    <w:basedOn w:val="DefaultParagraphFont"/>
    <w:link w:val="Heading3"/>
    <w:uiPriority w:val="9"/>
    <w:rsid w:val="00037DFF"/>
    <w:rPr>
      <w:rFonts w:ascii="Lato Semibold" w:eastAsiaTheme="majorEastAsia" w:hAnsi="Lato Semibold" w:cstheme="majorBidi"/>
      <w:color w:val="1F1F5F" w:themeColor="text1"/>
      <w:sz w:val="28"/>
      <w:szCs w:val="24"/>
    </w:rPr>
  </w:style>
  <w:style w:type="character" w:customStyle="1" w:styleId="Heading4Char">
    <w:name w:val="Heading 4 Char"/>
    <w:basedOn w:val="DefaultParagraphFont"/>
    <w:link w:val="Heading4"/>
    <w:uiPriority w:val="9"/>
    <w:rsid w:val="00037DFF"/>
    <w:rPr>
      <w:rFonts w:ascii="Lato Semibold" w:eastAsiaTheme="majorEastAsia" w:hAnsi="Lato Semibold" w:cstheme="majorBidi"/>
      <w:i/>
      <w:iCs/>
      <w:color w:val="454347"/>
      <w:sz w:val="24"/>
    </w:rPr>
  </w:style>
  <w:style w:type="paragraph" w:styleId="NoSpacing">
    <w:name w:val="No Spacing"/>
    <w:uiPriority w:val="1"/>
    <w:qFormat/>
    <w:rsid w:val="00037DFF"/>
    <w:rPr>
      <w:rFonts w:ascii="Lato" w:hAnsi="Lato"/>
    </w:rPr>
  </w:style>
  <w:style w:type="character" w:styleId="Hyperlink">
    <w:name w:val="Hyperlink"/>
    <w:basedOn w:val="DefaultParagraphFont"/>
    <w:uiPriority w:val="99"/>
    <w:unhideWhenUsed/>
    <w:rsid w:val="003B120E"/>
    <w:rPr>
      <w:color w:val="0563C1" w:themeColor="hyperlink"/>
      <w:u w:val="single"/>
    </w:rPr>
  </w:style>
  <w:style w:type="table" w:styleId="TableGrid">
    <w:name w:val="Table Grid"/>
    <w:basedOn w:val="TableNormal"/>
    <w:uiPriority w:val="39"/>
    <w:rsid w:val="00EE6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4D1F"/>
    <w:rPr>
      <w:color w:val="808080"/>
    </w:rPr>
  </w:style>
  <w:style w:type="paragraph" w:styleId="ListParagraph">
    <w:name w:val="List Paragraph"/>
    <w:basedOn w:val="Normal"/>
    <w:uiPriority w:val="34"/>
    <w:qFormat/>
    <w:rsid w:val="009143A1"/>
    <w:pPr>
      <w:ind w:left="720"/>
      <w:contextualSpacing/>
    </w:pPr>
  </w:style>
  <w:style w:type="paragraph" w:styleId="BalloonText">
    <w:name w:val="Balloon Text"/>
    <w:basedOn w:val="Normal"/>
    <w:link w:val="BalloonTextChar"/>
    <w:uiPriority w:val="99"/>
    <w:semiHidden/>
    <w:unhideWhenUsed/>
    <w:rsid w:val="00741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549"/>
    <w:rPr>
      <w:rFonts w:ascii="Segoe UI" w:hAnsi="Segoe UI" w:cs="Segoe UI"/>
      <w:sz w:val="18"/>
      <w:szCs w:val="18"/>
    </w:rPr>
  </w:style>
  <w:style w:type="paragraph" w:customStyle="1" w:styleId="Hidden">
    <w:name w:val="Hidden"/>
    <w:basedOn w:val="Normal"/>
    <w:uiPriority w:val="9"/>
    <w:rsid w:val="00CF5103"/>
    <w:rPr>
      <w:rFonts w:eastAsia="Calibri" w:cs="Times New Roman"/>
      <w:sz w:val="2"/>
      <w:szCs w:val="2"/>
    </w:rPr>
  </w:style>
  <w:style w:type="paragraph" w:styleId="NormalWeb">
    <w:name w:val="Normal (Web)"/>
    <w:basedOn w:val="Normal"/>
    <w:unhideWhenUsed/>
    <w:rsid w:val="00D11B12"/>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b.nt.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trb@nt.gov.au" TargetMode="External"/><Relationship Id="rId1" Type="http://schemas.openxmlformats.org/officeDocument/2006/relationships/hyperlink" Target="file:///C:\Users\belinda.thomson1\AppData\Local\Microsoft\Windows\INetCache\Content.Outlook\9NNBXVUE\www.trb.nt.gov.au" TargetMode="External"/></Relationships>
</file>

<file path=word/theme/theme1.xml><?xml version="1.0" encoding="utf-8"?>
<a:theme xmlns:a="http://schemas.openxmlformats.org/drawingml/2006/main" name="NTG 2019">
  <a:themeElements>
    <a:clrScheme name="NTG 2019">
      <a:dk1>
        <a:srgbClr val="1F1F5F"/>
      </a:dk1>
      <a:lt1>
        <a:sysClr val="window" lastClr="FFFFFF"/>
      </a:lt1>
      <a:dk2>
        <a:srgbClr val="E3520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C087-CD70-4299-99E2-C253D86A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Johnson</dc:creator>
  <cp:keywords/>
  <dc:description/>
  <cp:lastModifiedBy>Belinda Thomson</cp:lastModifiedBy>
  <cp:revision>2</cp:revision>
  <cp:lastPrinted>2019-12-11T06:55:00Z</cp:lastPrinted>
  <dcterms:created xsi:type="dcterms:W3CDTF">2020-01-23T04:07:00Z</dcterms:created>
  <dcterms:modified xsi:type="dcterms:W3CDTF">2020-01-23T04:07:00Z</dcterms:modified>
</cp:coreProperties>
</file>